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line="360" w:lineRule="auto"/>
        <w:ind w:left="1304" w:right="1351" w:firstLine="0"/>
        <w:jc w:val="center"/>
        <w:rPr/>
      </w:pPr>
      <w:r w:rsidDel="00000000" w:rsidR="00000000" w:rsidRPr="00000000">
        <w:rPr>
          <w:rtl w:val="0"/>
        </w:rPr>
        <w:t xml:space="preserve">PROCESO DE GESTIÓN DE FORMACIÓN PROFESIONAL INTEGRAL FORMATO INSTRUMENTO DE EVALUACIÓN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bCs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0"/>
          <w:szCs w:val="30"/>
          <w:rtl w:val="0"/>
        </w:rPr>
        <w:t xml:space="preserve">Cuestionario de Seguridad del Paciente para Auxiliares de Enfermería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Nombre del evaluado: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________________________________________</w:t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Fecha: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_______________</w:t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Calificación: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_________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Instrucciones: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Lea atentamente cada enunciado y seleccione una única opción de respuesta marcando con una equis (X) la opción que considere correcta.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b w:val="1"/>
          <w:bCs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0"/>
          <w:szCs w:val="30"/>
          <w:rtl w:val="0"/>
        </w:rPr>
        <w:t xml:space="preserve">Cuestionario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¿Cuál es el método más efectivo y económico para prevenir las infecciones asociadas a la atención en salud (IAAS)?</w:t>
        <w:br w:type="textWrapping"/>
        <w:t xml:space="preserve">a) El uso estricto de guantes estériles en todo momento.</w:t>
        <w:br w:type="textWrapping"/>
        <w:t xml:space="preserve">b) El lavado de manos con agua y jabón o fricción con alcohol glicerinado.</w:t>
        <w:br w:type="textWrapping"/>
        <w:t xml:space="preserve">c) La administración profiláctica de antibióticos a todos los pacientes.</w:t>
        <w:br w:type="textWrapping"/>
        <w:t xml:space="preserve">d) La desinfección diaria de los pasillos del hospital.</w:t>
      </w:r>
    </w:p>
    <w:p w:rsidR="00000000" w:rsidDel="00000000" w:rsidP="00000000" w:rsidRDefault="00000000" w:rsidRPr="00000000" w14:paraId="0000000C">
      <w:pPr>
        <w:widowControl w:val="1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Según la Organización Mundial de la Salud (OMS), ¿cuántos son los momentos clave para la higiene de manos en la atención clínica?</w:t>
        <w:br w:type="textWrapping"/>
        <w:t xml:space="preserve">a) 3 momentos.</w:t>
        <w:br w:type="textWrapping"/>
        <w:t xml:space="preserve">b) 4 momentos.</w:t>
        <w:br w:type="textWrapping"/>
        <w:t xml:space="preserve">c) 5 momentos.</w:t>
        <w:br w:type="textWrapping"/>
        <w:t xml:space="preserve">d) 6 momentos.</w:t>
      </w:r>
    </w:p>
    <w:p w:rsidR="00000000" w:rsidDel="00000000" w:rsidP="00000000" w:rsidRDefault="00000000" w:rsidRPr="00000000" w14:paraId="0000000E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Para garantizar la correcta identificación del paciente, ¿cuáles son los dos datos institucionales obligatorios que se deben verificar antes de cualquier procedimiento?</w:t>
        <w:br w:type="textWrapping"/>
        <w:t xml:space="preserve">a) Nombre completo y número de cama.</w:t>
        <w:br w:type="textWrapping"/>
        <w:t xml:space="preserve">b) Nombre completo y número de documento de identidad (o de historia clínica).</w:t>
        <w:br w:type="textWrapping"/>
        <w:t xml:space="preserve">c) Número de cama y diagnóstico médico.</w:t>
        <w:br w:type="textWrapping"/>
        <w:t xml:space="preserve">d) Apellidos del paciente y nombre del médico tratante.</w:t>
      </w:r>
    </w:p>
    <w:p w:rsidR="00000000" w:rsidDel="00000000" w:rsidP="00000000" w:rsidRDefault="00000000" w:rsidRPr="00000000" w14:paraId="00000010">
      <w:pPr>
        <w:widowControl w:val="1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 administrar un medicamento, el auxiliar de enfermería debe aplicar la regla de los "correctos". ¿Cuál de las siguientes opciones describe tres de estos correctos esenciales?</w:t>
        <w:br w:type="textWrapping"/>
        <w:t xml:space="preserve">a) Paciente correcto, cama correcta, precio correcto.</w:t>
        <w:br w:type="textWrapping"/>
        <w:t xml:space="preserve">b) Medicamento correcto, dosis correcta, vía correcta.</w:t>
        <w:br w:type="textWrapping"/>
        <w:t xml:space="preserve">c) Diagnóstico correcto, hora correcta, jeringa correcta.</w:t>
        <w:br w:type="textWrapping"/>
        <w:t xml:space="preserve">d) Médico correcto, insumo correcto, horario libre.</w:t>
      </w:r>
    </w:p>
    <w:p w:rsidR="00000000" w:rsidDel="00000000" w:rsidP="00000000" w:rsidRDefault="00000000" w:rsidRPr="00000000" w14:paraId="00000012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¿Qué acción es fundamental para prevenir las caídas en un paciente hospitalizado que presenta desorientación?</w:t>
        <w:br w:type="textWrapping"/>
        <w:t xml:space="preserve">a) Mantener las barandas de la cama elevadas y el freno del bipedestador activado.</w:t>
        <w:br w:type="textWrapping"/>
        <w:t xml:space="preserve">b) Administrar un sedante fuerte sin orden médica para que duerma.</w:t>
        <w:br w:type="textWrapping"/>
        <w:t xml:space="preserve">c) Dejar la luz de la habitación completamente apagada durante la noche.</w:t>
        <w:br w:type="textWrapping"/>
        <w:t xml:space="preserve">d) Permitir que el paciente deambule solo para que reconozca el espacio.</w:t>
      </w:r>
    </w:p>
    <w:p w:rsidR="00000000" w:rsidDel="00000000" w:rsidP="00000000" w:rsidRDefault="00000000" w:rsidRPr="00000000" w14:paraId="00000014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¿Cuál es la escala visual y numérica más utilizada en el entorno hospitalario para evaluar el riesgo de caídas en pacientes adultos?</w:t>
        <w:br w:type="textWrapping"/>
        <w:t xml:space="preserve">a) Escala de Braden.</w:t>
        <w:br w:type="textWrapping"/>
        <w:t xml:space="preserve">b) Escala de Glasgow.</w:t>
        <w:br w:type="textWrapping"/>
        <w:t xml:space="preserve">c) Escala de Morse.</w:t>
        <w:br w:type="textWrapping"/>
        <w:t xml:space="preserve">d) Escala de Norton.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4" w:right="0" w:hanging="35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¿En qué consiste el principio de "Seguridad del Paciente" en el ámbito clínico?</w:t>
        <w:br w:type="textWrapping"/>
        <w:t xml:space="preserve">a) El cobro justo de los servicios de salud prestados.</w:t>
        <w:br w:type="textWrapping"/>
        <w:t xml:space="preserve">b) El conjunto de elementos estructurales, procesos y metodologías que minimizan el riesgo de sufrir un evento adverso.</w:t>
        <w:br w:type="textWrapping"/>
        <w:t xml:space="preserve">c) La obligación de mantener bajo llave los registros médicos de la institución.</w:t>
        <w:br w:type="textWrapping"/>
        <w:t xml:space="preserve">d) La protección del hospital ante posibles demandas legales de los familiares.</w:t>
      </w:r>
    </w:p>
    <w:p w:rsidR="00000000" w:rsidDel="00000000" w:rsidP="00000000" w:rsidRDefault="00000000" w:rsidRPr="00000000" w14:paraId="00000019">
      <w:pPr>
        <w:widowControl w:val="1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Si durante la atención se presenta un "Incidente" (un fallo que no alcanzó a tocar al paciente o no le causó daño), ¿qué se debe hacer?</w:t>
        <w:br w:type="textWrapping"/>
        <w:t xml:space="preserve">a) Ocultarlo para evitar memorandos o sanciones disciplinarias.</w:t>
        <w:br w:type="textWrapping"/>
        <w:t xml:space="preserve">b) Reportarlo a la oficina de calidad o seguridad del paciente para analizar la falla del sistema.</w:t>
        <w:br w:type="textWrapping"/>
        <w:t xml:space="preserve">c) Culpar verbalmente al compañero del turno anterior.</w:t>
        <w:br w:type="textWrapping"/>
        <w:t xml:space="preserve">d) Borrar los registros del sistema informático de inmediato.</w:t>
      </w:r>
    </w:p>
    <w:p w:rsidR="00000000" w:rsidDel="00000000" w:rsidP="00000000" w:rsidRDefault="00000000" w:rsidRPr="00000000" w14:paraId="0000001B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¿Qué define a un "Evento Adverso" en la atención en salud?</w:t>
        <w:br w:type="textWrapping"/>
        <w:t xml:space="preserve">a) Una complicación esperada y natural de la enfermedad del paciente.</w:t>
        <w:br w:type="textWrapping"/>
        <w:t xml:space="preserve">b) * Un resultado no deseado que causa daño al paciente, directamente relacionado con la atención brindada y no con su enfermedad de base.</w:t>
        <w:br w:type="textWrapping"/>
        <w:t xml:space="preserve">c) La insatisfacción del paciente con el sabor de la comida del hospital.</w:t>
        <w:br w:type="textWrapping"/>
        <w:t xml:space="preserve">d) Un error administrativo en la facturación del servicio de urgencias.</w:t>
      </w:r>
    </w:p>
    <w:p w:rsidR="00000000" w:rsidDel="00000000" w:rsidP="00000000" w:rsidRDefault="00000000" w:rsidRPr="00000000" w14:paraId="0000001D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Para evitar las úlceras por presión (UPP) en pacientes con movilidad reducida, ¿cada cuánto tiempo se recomienda realizar los cambios posturales como norma general?</w:t>
        <w:br w:type="textWrapping"/>
        <w:t xml:space="preserve">a) Cada 30 minutos.</w:t>
        <w:br w:type="textWrapping"/>
        <w:t xml:space="preserve">b) Cada 2 horas.</w:t>
        <w:br w:type="textWrapping"/>
        <w:t xml:space="preserve">c) Cada 8 horas.</w:t>
        <w:br w:type="textWrapping"/>
        <w:t xml:space="preserve">d) Una vez por turno (cada 12 horas).</w:t>
      </w:r>
    </w:p>
    <w:p w:rsidR="00000000" w:rsidDel="00000000" w:rsidP="00000000" w:rsidRDefault="00000000" w:rsidRPr="00000000" w14:paraId="0000001F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¿Cuál es la escala más utilizada por el personal de enfermería para evaluar el riesgo de desarrollar úlceras por presión?</w:t>
        <w:br w:type="textWrapping"/>
        <w:t xml:space="preserve">a) * Escala de Braden.</w:t>
        <w:br w:type="textWrapping"/>
        <w:t xml:space="preserve">b) Escala de Downton.</w:t>
        <w:br w:type="textWrapping"/>
        <w:t xml:space="preserve">c) Escala de Visual Análoga (EVA).</w:t>
        <w:br w:type="textWrapping"/>
        <w:t xml:space="preserve">d) Escala de APGAR.</w:t>
      </w:r>
    </w:p>
    <w:p w:rsidR="00000000" w:rsidDel="00000000" w:rsidP="00000000" w:rsidRDefault="00000000" w:rsidRPr="00000000" w14:paraId="00000021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¿Cuál es el color universalmente más utilizado en las manillas de identificación para alertar sobre el riesgo de alergias en el paciente?</w:t>
        <w:br w:type="textWrapping"/>
        <w:t xml:space="preserve">a) Verde.</w:t>
        <w:br w:type="textWrapping"/>
        <w:t xml:space="preserve">b) Azul.</w:t>
        <w:br w:type="textWrapping"/>
        <w:t xml:space="preserve">c) Rojo.</w:t>
        <w:br w:type="textWrapping"/>
        <w:t xml:space="preserve">d) Blanco.</w:t>
      </w:r>
    </w:p>
    <w:p w:rsidR="00000000" w:rsidDel="00000000" w:rsidP="00000000" w:rsidRDefault="00000000" w:rsidRPr="00000000" w14:paraId="00000023">
      <w:pPr>
        <w:widowControl w:val="1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 realizar la transferencia de un paciente de un servicio a otro (por ejemplo, de Urgencias a Hospitalización), ¿cuál es la mejor práctica de seguridad?</w:t>
        <w:br w:type="textWrapping"/>
        <w:t xml:space="preserve">a) Dejar la historia clínica sobre la cama del paciente y retirarse rápido.</w:t>
        <w:br w:type="textWrapping"/>
        <w:t xml:space="preserve">b) Realizar una entrega verbal estructurada (ej. técnica SBAR/SAER) al enfermero receptor, verificando datos y estado del paciente.</w:t>
        <w:br w:type="textWrapping"/>
        <w:t xml:space="preserve">c) Llamar por teléfono tres horas después para avisar que el paciente ya subió.</w:t>
        <w:br w:type="textWrapping"/>
        <w:t xml:space="preserve">d) Informar únicamente al camillero sobre los antecedentes del paciente.</w:t>
      </w:r>
    </w:p>
    <w:p w:rsidR="00000000" w:rsidDel="00000000" w:rsidP="00000000" w:rsidRDefault="00000000" w:rsidRPr="00000000" w14:paraId="00000025">
      <w:pPr>
        <w:widowControl w:val="1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¿Qué es un "Evento Centinela"?</w:t>
        <w:br w:type="textWrapping"/>
        <w:t xml:space="preserve">a) Un retraso menor en la asignación de una cita externa.</w:t>
        <w:br w:type="textWrapping"/>
        <w:t xml:space="preserve">b) Un hecho inesperado que involucra la muerte o un daño físico o psicológico grave del paciente, no relacionado con el curso natural de su enfermedad.</w:t>
        <w:br w:type="textWrapping"/>
        <w:t xml:space="preserve">c) La pérdida temporal de un objeto personal del paciente dentro de la institución.</w:t>
        <w:br w:type="textWrapping"/>
        <w:t xml:space="preserve">d) Un simulacro de evacuación programado por el comité de emergencias.</w:t>
      </w:r>
    </w:p>
    <w:p w:rsidR="00000000" w:rsidDel="00000000" w:rsidP="00000000" w:rsidRDefault="00000000" w:rsidRPr="00000000" w14:paraId="00000027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 la preparación de medicamentos, ¿qué significa el conceptor de "Medicamentos LASA" (Look-Alike, Sound-Alike)?</w:t>
        <w:br w:type="textWrapping"/>
        <w:t xml:space="preserve">a) Medicamentos que tienen un costo muy elevado en el mercado.</w:t>
        <w:br w:type="textWrapping"/>
        <w:t xml:space="preserve">b) Medicamentos que se administran exclusivamente por vía endovenosa directa.</w:t>
        <w:br w:type="textWrapping"/>
        <w:t xml:space="preserve">c) Medicamentos que tienen apariencia física semejante o nombres con fonética parecida, lo que puede inducir a confusión.</w:t>
        <w:br w:type="textWrapping"/>
        <w:t xml:space="preserve">d) Fármacos de uso exclusivo en la unidad de cuidados intensivos.</w:t>
      </w:r>
    </w:p>
    <w:p w:rsidR="00000000" w:rsidDel="00000000" w:rsidP="00000000" w:rsidRDefault="00000000" w:rsidRPr="00000000" w14:paraId="00000029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¿Cuál es la conducta correcta si nota que la orden médica de un medicamento tiene una letra ilegible o una dosis que parece excesiva?</w:t>
        <w:br w:type="textWrapping"/>
        <w:t xml:space="preserve">a) Administrar lo que usted logre adivinar para no perder tiempo.</w:t>
        <w:br w:type="textWrapping"/>
        <w:t xml:space="preserve">b) Consultar con el familiar del paciente para ver qué opina.</w:t>
        <w:br w:type="textWrapping"/>
        <w:t xml:space="preserve">c) * Confirmar y aclarar directamente con el médico que realizó la prescripción antes de administrar el fármaco.</w:t>
        <w:br w:type="textWrapping"/>
        <w:t xml:space="preserve">d) Omitir el medicamento y no registrar nada en las notas de enfermería.</w:t>
      </w:r>
    </w:p>
    <w:p w:rsidR="00000000" w:rsidDel="00000000" w:rsidP="00000000" w:rsidRDefault="00000000" w:rsidRPr="00000000" w14:paraId="0000002B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Antes de realizar un procedimiento invasivo (como la inserción de una sonda vesical), ¿qué elemento legal y ético debe verificar que esté firmado en la historia clínica?</w:t>
        <w:br w:type="textWrapping"/>
        <w:t xml:space="preserve">a) El pagaré de la cuenta bancaria.</w:t>
        <w:br w:type="textWrapping"/>
        <w:t xml:space="preserve">b) El Consentimiento Informado.</w:t>
        <w:br w:type="textWrapping"/>
        <w:t xml:space="preserve">c) La orden de alta médica.</w:t>
        <w:br w:type="textWrapping"/>
        <w:t xml:space="preserve">d) El reglamento interno de visitas.</w:t>
      </w:r>
    </w:p>
    <w:p w:rsidR="00000000" w:rsidDel="00000000" w:rsidP="00000000" w:rsidRDefault="00000000" w:rsidRPr="00000000" w14:paraId="0000002D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¿Por qué es peligroso realizar un procedimiento con prisa o con constantes interrupciones en el ambiente clínico?</w:t>
        <w:br w:type="textWrapping"/>
        <w:t xml:space="preserve">a) Porque disminuye la fatiga del personal.</w:t>
        <w:br w:type="textWrapping"/>
        <w:t xml:space="preserve">b) Porque incrementa exponencialmente la probabilidad de cometer errores y omitir barreras de seguridad.</w:t>
        <w:br w:type="textWrapping"/>
        <w:t xml:space="preserve">c) Porque el supervisor podría pensar que el auxiliar no trabaja rápido.</w:t>
        <w:br w:type="textWrapping"/>
        <w:t xml:space="preserve">d) Porque se gasta una mayor cantidad de insumos médicos descartables.</w:t>
      </w:r>
    </w:p>
    <w:p w:rsidR="00000000" w:rsidDel="00000000" w:rsidP="00000000" w:rsidRDefault="00000000" w:rsidRPr="00000000" w14:paraId="0000002F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 desechar elementos cortopunzantes (agujas, hojas de bisturí), ¿dónde deben depositarse obligatoriamente?</w:t>
        <w:br w:type="textWrapping"/>
        <w:t xml:space="preserve">a) En la bolsa roja de residuos biosanitarios orgánicos.</w:t>
        <w:br w:type="textWrapping"/>
        <w:t xml:space="preserve">b) * En el contenedor rígido de seguridad (guardián de seguridad).</w:t>
        <w:br w:type="textWrapping"/>
        <w:t xml:space="preserve">c) En la bolsa gris de elementos reciclables.</w:t>
        <w:br w:type="textWrapping"/>
        <w:t xml:space="preserve">d) En el tacho de basura común de la habitación del paciente.</w:t>
      </w:r>
    </w:p>
    <w:p w:rsidR="00000000" w:rsidDel="00000000" w:rsidP="00000000" w:rsidRDefault="00000000" w:rsidRPr="00000000" w14:paraId="00000031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1"/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¿Qué se debe hacer inmediatamente después de sufrir un pinchazo accidental con una aguja usada en un paciente?</w:t>
        <w:br w:type="textWrapping"/>
        <w:t xml:space="preserve">a) Lavar la zona con abundante agua y jabón, exprimir suavemente la herida y reportar de inmediato el accidente de trabajo a salud ocupacional / ARL.</w:t>
        <w:br w:type="textWrapping"/>
        <w:t xml:space="preserve">b) Colocarse una curita y continuar con las labores del turno sin decir nada.</w:t>
        <w:br w:type="textWrapping"/>
        <w:t xml:space="preserve">c) Tomar antibióticos de amplio espectro por cuenta propia.</w:t>
        <w:br w:type="textWrapping"/>
        <w:t xml:space="preserve">d) Reencapsular la aguja y guardarla en el bolsillo del uniforme.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320" w:top="1860" w:left="1417" w:right="850" w:header="978" w:footer="12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23925" cy="8763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3925" cy="876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384" w:hanging="239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ind w:left="145" w:hanging="359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uI9hfWJshQLZwpvSv8GKOyfW7Q==">CgMxLjA4AHIhMUYzVE9Ud0t5ZlktS2NwaThDbmlSZ1AzSlcxSW0tbV9m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lpwstr>2025-12-11T00:00:00Z</vt:lpwstr>
  </property>
  <property fmtid="{D5CDD505-2E9C-101B-9397-08002B2CF9AE}" pid="4" name="Creator">
    <vt:lpwstr>Writer</vt:lpwstr>
  </property>
  <property fmtid="{D5CDD505-2E9C-101B-9397-08002B2CF9AE}" pid="5" name="Producer">
    <vt:lpwstr>LibreOffice 7.3</vt:lpwstr>
  </property>
  <property fmtid="{D5CDD505-2E9C-101B-9397-08002B2CF9AE}" pid="6" name="LastSaved">
    <vt:lpwstr>2025-12-11T00:00:00Z</vt:lpwstr>
  </property>
</Properties>
</file>